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7D1A2" w14:textId="77777777" w:rsidR="007F5A97" w:rsidRPr="00997A1B" w:rsidRDefault="007F5A97" w:rsidP="007F5A97">
      <w:pPr>
        <w:pStyle w:val="a4"/>
        <w:spacing w:before="0" w:beforeAutospacing="0" w:after="0" w:afterAutospacing="0" w:line="300" w:lineRule="atLeast"/>
      </w:pPr>
      <w:r w:rsidRPr="00997A1B">
        <w:t>Основные цели хеджирования для юридических лиц</w:t>
      </w:r>
    </w:p>
    <w:p w14:paraId="56A1EE98" w14:textId="2E17B6E3" w:rsidR="007F5A97" w:rsidRPr="00997A1B" w:rsidRDefault="007F5A97" w:rsidP="007F5A97">
      <w:pPr>
        <w:pStyle w:val="a4"/>
        <w:numPr>
          <w:ilvl w:val="0"/>
          <w:numId w:val="2"/>
        </w:numPr>
        <w:spacing w:before="120" w:beforeAutospacing="0" w:after="0" w:afterAutospacing="0" w:line="300" w:lineRule="atLeast"/>
      </w:pPr>
      <w:r w:rsidRPr="00997A1B">
        <w:t xml:space="preserve">Защита от валютных рисков. Компании, ведущие внешнеэкономическую деятельность (экспортёры, импортёры), используют хеджирование для фиксации курса валют. Это позволяет избежать убытков при изменении курса в неблагоприятную сторону. </w:t>
      </w:r>
      <w:r w:rsidRPr="00997A1B">
        <w:t xml:space="preserve">Компании, основная деятельность которых не связана с ВЭД, также могут быть заинтересованы в хеджировании. </w:t>
      </w:r>
      <w:r w:rsidRPr="00997A1B">
        <w:t xml:space="preserve">Например, если компания </w:t>
      </w:r>
      <w:r w:rsidRPr="00997A1B">
        <w:t>планирует закупать или периодически закупает</w:t>
      </w:r>
      <w:r w:rsidRPr="00997A1B">
        <w:t xml:space="preserve"> </w:t>
      </w:r>
      <w:r w:rsidRPr="00997A1B">
        <w:t xml:space="preserve">оборудование/технику </w:t>
      </w:r>
      <w:r w:rsidRPr="00997A1B">
        <w:t xml:space="preserve">за рубежом, она может зафиксировать курс валюты с помощью форвардов или </w:t>
      </w:r>
      <w:r w:rsidRPr="00997A1B">
        <w:t>фьючерсов</w:t>
      </w:r>
      <w:r w:rsidRPr="00997A1B">
        <w:t>, чтобы стабилизировать затраты.</w:t>
      </w:r>
    </w:p>
    <w:p w14:paraId="60769224" w14:textId="5ECFEBE5" w:rsidR="007F5A97" w:rsidRPr="00997A1B" w:rsidRDefault="007F5A97" w:rsidP="007F5A97">
      <w:pPr>
        <w:pStyle w:val="a4"/>
        <w:numPr>
          <w:ilvl w:val="0"/>
          <w:numId w:val="2"/>
        </w:numPr>
        <w:spacing w:before="120" w:beforeAutospacing="0" w:after="0" w:afterAutospacing="0" w:line="300" w:lineRule="atLeast"/>
      </w:pPr>
      <w:r w:rsidRPr="00997A1B">
        <w:t>Прогнозирование бюджета и финансовых результатов. Хеджирование делает доходы и расходы более предсказуемыми, что упрощает долгосрочное планирование. Компания может избежать непрогнозируемых убытков и переоценок валютных позиций.</w:t>
      </w:r>
    </w:p>
    <w:p w14:paraId="775B7CB7" w14:textId="1565ECED" w:rsidR="007F5A97" w:rsidRPr="00997A1B" w:rsidRDefault="007F5A97" w:rsidP="007F5A97">
      <w:pPr>
        <w:pStyle w:val="a4"/>
        <w:spacing w:before="120" w:beforeAutospacing="0" w:after="0" w:afterAutospacing="0" w:line="300" w:lineRule="atLeast"/>
      </w:pPr>
      <w:r w:rsidRPr="00997A1B">
        <w:t xml:space="preserve">Импортерам и ЮЛ, кто делает закупки из-за рубежа необходимо страховаться от роста курса. </w:t>
      </w:r>
    </w:p>
    <w:p w14:paraId="023EED95" w14:textId="3FE471CE" w:rsidR="007F5A97" w:rsidRPr="00997A1B" w:rsidRDefault="007F5A97" w:rsidP="007F5A97">
      <w:pPr>
        <w:pStyle w:val="a4"/>
        <w:spacing w:before="120" w:beforeAutospacing="0" w:after="0" w:afterAutospacing="0" w:line="300" w:lineRule="atLeast"/>
      </w:pPr>
      <w:r w:rsidRPr="00997A1B">
        <w:t>Экспортеры страхуются от падения курса.</w:t>
      </w:r>
    </w:p>
    <w:p w14:paraId="086B1D06" w14:textId="77777777" w:rsidR="001E2BF1" w:rsidRPr="00997A1B" w:rsidRDefault="001E2BF1" w:rsidP="007F5A97">
      <w:pPr>
        <w:pStyle w:val="a4"/>
        <w:spacing w:before="120" w:beforeAutospacing="0" w:after="0" w:afterAutospacing="0" w:line="300" w:lineRule="atLeast"/>
      </w:pPr>
      <w:r w:rsidRPr="00997A1B">
        <w:t xml:space="preserve">Плюсы: </w:t>
      </w:r>
    </w:p>
    <w:p w14:paraId="1EF60485" w14:textId="77777777" w:rsidR="001E2BF1" w:rsidRPr="00997A1B" w:rsidRDefault="001E2BF1" w:rsidP="007F5A97">
      <w:pPr>
        <w:pStyle w:val="a4"/>
        <w:spacing w:before="120" w:beforeAutospacing="0" w:after="0" w:afterAutospacing="0" w:line="300" w:lineRule="atLeast"/>
      </w:pPr>
      <w:r w:rsidRPr="00997A1B">
        <w:t xml:space="preserve">- </w:t>
      </w:r>
      <w:r w:rsidRPr="00997A1B">
        <w:t xml:space="preserve">Снижение рисков и повышение стабильности бизнеса. </w:t>
      </w:r>
    </w:p>
    <w:p w14:paraId="1110E85E" w14:textId="77777777" w:rsidR="001E2BF1" w:rsidRPr="00997A1B" w:rsidRDefault="001E2BF1" w:rsidP="007F5A97">
      <w:pPr>
        <w:pStyle w:val="a4"/>
        <w:spacing w:before="120" w:beforeAutospacing="0" w:after="0" w:afterAutospacing="0" w:line="300" w:lineRule="atLeast"/>
      </w:pPr>
      <w:r w:rsidRPr="00997A1B">
        <w:t xml:space="preserve">- </w:t>
      </w:r>
      <w:r w:rsidRPr="00997A1B">
        <w:t xml:space="preserve">Возможность точного планирования бюджета и финансовых результатов. </w:t>
      </w:r>
    </w:p>
    <w:p w14:paraId="73A717C2" w14:textId="77777777" w:rsidR="001E2BF1" w:rsidRPr="00997A1B" w:rsidRDefault="001E2BF1" w:rsidP="007F5A97">
      <w:pPr>
        <w:pStyle w:val="a4"/>
        <w:spacing w:before="120" w:beforeAutospacing="0" w:after="0" w:afterAutospacing="0" w:line="300" w:lineRule="atLeast"/>
      </w:pPr>
      <w:r w:rsidRPr="00997A1B">
        <w:t xml:space="preserve">- </w:t>
      </w:r>
      <w:r w:rsidRPr="00997A1B">
        <w:t xml:space="preserve">Защита от неблагоприятных рыночных изменений. </w:t>
      </w:r>
    </w:p>
    <w:p w14:paraId="0B8F5AA7" w14:textId="77777777" w:rsidR="001E2BF1" w:rsidRPr="00997A1B" w:rsidRDefault="001E2BF1" w:rsidP="007F5A97">
      <w:pPr>
        <w:pStyle w:val="a4"/>
        <w:spacing w:before="120" w:beforeAutospacing="0" w:after="0" w:afterAutospacing="0" w:line="300" w:lineRule="atLeast"/>
      </w:pPr>
      <w:r w:rsidRPr="00997A1B">
        <w:t xml:space="preserve">Минусы: </w:t>
      </w:r>
    </w:p>
    <w:p w14:paraId="5F951FF4" w14:textId="4E05EE8F" w:rsidR="001E2BF1" w:rsidRPr="00997A1B" w:rsidRDefault="001E2BF1" w:rsidP="007F5A97">
      <w:pPr>
        <w:pStyle w:val="a4"/>
        <w:spacing w:before="120" w:beforeAutospacing="0" w:after="0" w:afterAutospacing="0" w:line="300" w:lineRule="atLeast"/>
      </w:pPr>
      <w:r w:rsidRPr="00997A1B">
        <w:t xml:space="preserve">- </w:t>
      </w:r>
      <w:r w:rsidRPr="00997A1B">
        <w:t xml:space="preserve">Необходимость затрат на хеджирование (премии, комиссии). </w:t>
      </w:r>
      <w:r w:rsidRPr="00997A1B">
        <w:t>(В СРАВНЕНИИ С ЗАТРАТАМИ, КОТОРЫЕ ЮЛ НЕСЕТ ПРИ ИСПОЛЬЗОВАНИИ ФОРВАРДОВ И ОПЦИОНОВ, ПРЕДЛОЖЕНИЕ СИНАРЫ ПО ХЕДЖИРОВАНИЮ ФЬЮЧЕРСАМИ ЯВЛЯЕТСЯ БОЛЕЕ ДЕШЕВЫМ И ГИБКИМ ДЛЯ КЛИЕНТА)</w:t>
      </w:r>
    </w:p>
    <w:p w14:paraId="78A4972F" w14:textId="22B200F1" w:rsidR="001E2BF1" w:rsidRPr="00997A1B" w:rsidRDefault="001E2BF1" w:rsidP="007F5A97">
      <w:pPr>
        <w:pStyle w:val="a4"/>
        <w:spacing w:before="120" w:beforeAutospacing="0" w:after="0" w:afterAutospacing="0" w:line="300" w:lineRule="atLeast"/>
      </w:pPr>
      <w:r w:rsidRPr="00997A1B">
        <w:t xml:space="preserve">- </w:t>
      </w:r>
      <w:r w:rsidRPr="00997A1B">
        <w:t xml:space="preserve">Сложность использования и необходимость глубокого анализа рынка. </w:t>
      </w:r>
      <w:r w:rsidRPr="00997A1B">
        <w:t>(ЮЛ ОТКРЫВАЕТ БРОКЕСКИЙ СЧЕТ, ПОДКЛЮЧАЕТ ПЕРСОНАЛЬНОГО БРОКЕРА, КОТОРЫЙ БЕРЕТ НА СЕБЯ СОПРОВОЖДЕНИЕ СЧЕТА И ВСЕ ТЕХНИЧЕСКИЕ И АНАЛИТИЧЕСКИЕ АСПЕКТЫ)</w:t>
      </w:r>
    </w:p>
    <w:p w14:paraId="7ABAF0E2" w14:textId="7F67A731" w:rsidR="00A468D1" w:rsidRPr="00997A1B" w:rsidRDefault="001E2BF1" w:rsidP="001E2BF1">
      <w:pPr>
        <w:pStyle w:val="a4"/>
        <w:spacing w:before="120" w:beforeAutospacing="0" w:after="0" w:afterAutospacing="0" w:line="300" w:lineRule="atLeast"/>
      </w:pPr>
      <w:r w:rsidRPr="00997A1B">
        <w:t xml:space="preserve">- </w:t>
      </w:r>
      <w:r w:rsidRPr="00997A1B">
        <w:t>Риск того, что затраты на хеджирование превысят потенциальные убытки.</w:t>
      </w:r>
      <w:r w:rsidRPr="00997A1B">
        <w:t xml:space="preserve"> (ТАКОЙ РИСК СУЩЕСТВУЕТ, ОДНАКО В ТЕКУЩЕЙ СИТУАЦИИ НА РЫНКЕ ВЕРОЯТНОСТЬ РОСТА КУРСА ВЫСОКАЯ. К ТОМУ ЖЕ ДЛЯ ИМПОРТЕРОВ ЭТО ДЕЙСТВИТЕЛЬНО РАБОТАЕТ КАК СТРАХОВКА, ГДЕ ЦЕЛЬ НЕ ДОПУСТИТЬ НЕПРОГНОЗИРУЕМЫХ УБЫТКОВ.)</w:t>
      </w:r>
    </w:p>
    <w:p w14:paraId="46860A32" w14:textId="3560DF73" w:rsidR="001E2BF1" w:rsidRDefault="001E2BF1" w:rsidP="001E2BF1">
      <w:pPr>
        <w:pStyle w:val="a4"/>
        <w:spacing w:before="120" w:beforeAutospacing="0" w:after="0" w:afterAutospacing="0" w:line="300" w:lineRule="atLeast"/>
      </w:pPr>
    </w:p>
    <w:p w14:paraId="6068FCBE" w14:textId="5EADEB4A" w:rsidR="00997A1B" w:rsidRDefault="00997A1B" w:rsidP="001E2BF1">
      <w:pPr>
        <w:pStyle w:val="a4"/>
        <w:spacing w:before="120" w:beforeAutospacing="0" w:after="0" w:afterAutospacing="0" w:line="300" w:lineRule="atLeast"/>
      </w:pPr>
      <w:r>
        <w:t xml:space="preserve">Мы работаем через фьючерсные контракты на валюту. Самые ликвидные </w:t>
      </w:r>
      <w:proofErr w:type="gramStart"/>
      <w:r>
        <w:t>- это</w:t>
      </w:r>
      <w:proofErr w:type="gramEnd"/>
      <w:r>
        <w:t xml:space="preserve"> доллар рубль и юань рубль. В одном фьючерсе 1000 единиц валюты.</w:t>
      </w:r>
    </w:p>
    <w:p w14:paraId="51286B85" w14:textId="2C69E94B" w:rsidR="00997A1B" w:rsidRDefault="00997A1B" w:rsidP="001E2BF1">
      <w:pPr>
        <w:pStyle w:val="a4"/>
        <w:spacing w:before="120" w:beforeAutospacing="0" w:after="0" w:afterAutospacing="0" w:line="300" w:lineRule="atLeast"/>
      </w:pPr>
      <w:r>
        <w:t>Чтобы захеджировать контракт в 10.000.000 юаней клиенту достаточно внести от 16 до 20% в качестве Гарантийного обеспечения. Это не плата за хедж, а именно обеспечение под которое открывается позиция.</w:t>
      </w:r>
    </w:p>
    <w:p w14:paraId="7627A635" w14:textId="2206A90F" w:rsidR="00997A1B" w:rsidRDefault="00997A1B" w:rsidP="001E2BF1">
      <w:pPr>
        <w:pStyle w:val="a4"/>
        <w:spacing w:before="120" w:beforeAutospacing="0" w:after="0" w:afterAutospacing="0" w:line="300" w:lineRule="atLeast"/>
      </w:pPr>
      <w:r>
        <w:t xml:space="preserve">Это гарантийное обеспечение не просто лежит на счете, а размещается под доходность выше ключевой ставки (на сегодня до 18% годовых). С прибыли по таким размещениям </w:t>
      </w:r>
      <w:r>
        <w:lastRenderedPageBreak/>
        <w:t xml:space="preserve">ЮЛ платит налог не 25% а 20%. Если ЮЛ захочет внести сумму </w:t>
      </w:r>
      <w:proofErr w:type="gramStart"/>
      <w:r>
        <w:t>больше</w:t>
      </w:r>
      <w:proofErr w:type="gramEnd"/>
      <w:r>
        <w:t xml:space="preserve"> чем 20% от стоимости своего контракта, прибыль от размещений сможет покрыть значительную часть затрат на </w:t>
      </w:r>
      <w:proofErr w:type="spellStart"/>
      <w:r>
        <w:t>хеджирвание</w:t>
      </w:r>
      <w:proofErr w:type="spellEnd"/>
      <w:r>
        <w:t>.</w:t>
      </w:r>
    </w:p>
    <w:p w14:paraId="74905779" w14:textId="4EEACBB7" w:rsidR="00997A1B" w:rsidRDefault="00997A1B" w:rsidP="001E2BF1">
      <w:pPr>
        <w:pStyle w:val="a4"/>
        <w:spacing w:before="120" w:beforeAutospacing="0" w:after="0" w:afterAutospacing="0" w:line="300" w:lineRule="atLeast"/>
      </w:pPr>
      <w:r>
        <w:t xml:space="preserve">Для экспортеров хеджирование выгодно, </w:t>
      </w:r>
      <w:proofErr w:type="spellStart"/>
      <w:r>
        <w:t>тк</w:t>
      </w:r>
      <w:proofErr w:type="spellEnd"/>
      <w:r>
        <w:t xml:space="preserve"> они зарабатывают на стоимости денег, которая заключена во фьючерс.</w:t>
      </w:r>
      <w:bookmarkStart w:id="0" w:name="_GoBack"/>
      <w:bookmarkEnd w:id="0"/>
    </w:p>
    <w:sectPr w:rsidR="00997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E72AB"/>
    <w:multiLevelType w:val="hybridMultilevel"/>
    <w:tmpl w:val="68526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80101"/>
    <w:multiLevelType w:val="hybridMultilevel"/>
    <w:tmpl w:val="98B27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76F16"/>
    <w:multiLevelType w:val="hybridMultilevel"/>
    <w:tmpl w:val="8FFE9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6A"/>
    <w:rsid w:val="001E2BF1"/>
    <w:rsid w:val="003D1F6D"/>
    <w:rsid w:val="00635371"/>
    <w:rsid w:val="007F5A97"/>
    <w:rsid w:val="00997A1B"/>
    <w:rsid w:val="00B7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F356"/>
  <w15:chartTrackingRefBased/>
  <w15:docId w15:val="{49ED7BB3-B7BD-4B64-BF3A-16D36C38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A9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F5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Sinara Investment Bank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Канивец Екатерина Евгеньевна</dc:creator>
  <cp:keywords/>
  <dc:description/>
  <cp:lastModifiedBy>Канивец Екатерина Евгеньевна</cp:lastModifiedBy>
  <cp:revision>2</cp:revision>
  <dcterms:created xsi:type="dcterms:W3CDTF">2025-12-09T13:39:00Z</dcterms:created>
  <dcterms:modified xsi:type="dcterms:W3CDTF">2025-12-09T14:11:00Z</dcterms:modified>
</cp:coreProperties>
</file>